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3B56A3D6" w:rsidR="00C745FA" w:rsidRPr="0080506E" w:rsidRDefault="004073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>
        <w:rPr>
          <w:rFonts w:ascii="Sylfaen" w:hAnsi="Sylfaen"/>
          <w:sz w:val="24"/>
          <w:lang w:val="ka-GE"/>
        </w:rPr>
        <w:t xml:space="preserve">5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623525">
        <w:rPr>
          <w:rFonts w:ascii="Sylfaen" w:hAnsi="Sylfaen"/>
          <w:b/>
          <w:bCs/>
          <w:sz w:val="24"/>
          <w:u w:val="single"/>
          <w:lang w:val="ka-GE"/>
        </w:rPr>
        <w:t>304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80506E" w:rsidRPr="00623525">
        <w:rPr>
          <w:rFonts w:ascii="Sylfaen" w:hAnsi="Sylfaen"/>
          <w:bCs/>
          <w:sz w:val="24"/>
          <w:lang w:val="ka-GE"/>
        </w:rPr>
        <w:t>აქედან</w:t>
      </w:r>
      <w:r w:rsidR="00623525" w:rsidRPr="00623525">
        <w:rPr>
          <w:rFonts w:ascii="Sylfaen" w:hAnsi="Sylfaen"/>
          <w:bCs/>
          <w:sz w:val="24"/>
          <w:lang w:val="ka-GE"/>
        </w:rPr>
        <w:t xml:space="preserve"> 3 </w:t>
      </w:r>
      <w:r w:rsidR="0080506E" w:rsidRPr="00623525">
        <w:rPr>
          <w:rFonts w:ascii="Sylfaen" w:hAnsi="Sylfaen"/>
          <w:bCs/>
          <w:sz w:val="24"/>
          <w:lang w:val="ka-GE"/>
        </w:rPr>
        <w:t>განმეორებით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623525">
        <w:rPr>
          <w:rFonts w:ascii="Sylfaen" w:hAnsi="Sylfaen"/>
          <w:b/>
          <w:sz w:val="24"/>
          <w:u w:val="single"/>
        </w:rPr>
        <w:t xml:space="preserve">125 </w:t>
      </w:r>
      <w:r w:rsidR="005D6B9B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80506E">
        <w:rPr>
          <w:rFonts w:ascii="Sylfaen" w:hAnsi="Sylfaen"/>
          <w:b/>
          <w:sz w:val="24"/>
          <w:u w:val="single"/>
        </w:rPr>
        <w:t>ნიმუში</w:t>
      </w:r>
      <w:proofErr w:type="spellEnd"/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623525">
        <w:rPr>
          <w:rFonts w:ascii="Sylfaen" w:hAnsi="Sylfaen"/>
          <w:sz w:val="24"/>
          <w:lang w:val="ka-GE"/>
        </w:rPr>
        <w:t>1 განმეორება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b/>
          <w:sz w:val="24"/>
          <w:u w:val="single"/>
        </w:rPr>
        <w:t xml:space="preserve">,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>
        <w:rPr>
          <w:rFonts w:ascii="Sylfaen" w:hAnsi="Sylfaen"/>
          <w:b/>
          <w:sz w:val="24"/>
          <w:u w:val="single"/>
          <w:lang w:val="ka-GE"/>
        </w:rPr>
        <w:t>266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623525">
        <w:rPr>
          <w:rFonts w:ascii="Sylfaen" w:hAnsi="Sylfaen"/>
          <w:b/>
          <w:sz w:val="24"/>
          <w:u w:val="single"/>
        </w:rPr>
        <w:t>33</w:t>
      </w:r>
      <w:r w:rsidR="005D6B9B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5D6B9B">
        <w:rPr>
          <w:rFonts w:ascii="Sylfaen" w:hAnsi="Sylfaen"/>
          <w:sz w:val="24"/>
          <w:lang w:val="ka-GE"/>
        </w:rPr>
        <w:t xml:space="preserve"> 8</w:t>
      </w:r>
      <w:r w:rsidR="0080506E">
        <w:rPr>
          <w:rFonts w:ascii="Sylfaen" w:hAnsi="Sylfaen"/>
          <w:sz w:val="24"/>
          <w:lang w:val="ka-GE"/>
        </w:rPr>
        <w:t xml:space="preserve"> განმეორებითი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b/>
          <w:sz w:val="24"/>
        </w:rPr>
        <w:t>45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ნიმუში</w:t>
      </w:r>
      <w:proofErr w:type="spellEnd"/>
      <w:r w:rsidR="00623525">
        <w:rPr>
          <w:rFonts w:ascii="Sylfaen" w:hAnsi="Sylfaen"/>
          <w:b/>
          <w:sz w:val="24"/>
        </w:rPr>
        <w:t xml:space="preserve"> 1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განმეორებითი</w:t>
      </w:r>
      <w:proofErr w:type="spellEnd"/>
      <w:r w:rsidR="005D6B9B">
        <w:rPr>
          <w:rFonts w:ascii="Sylfaen" w:hAnsi="Sylfaen"/>
          <w:b/>
          <w:sz w:val="24"/>
        </w:rPr>
        <w:t xml:space="preserve">,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28 </w:t>
      </w:r>
      <w:r w:rsidR="005D6B9B">
        <w:rPr>
          <w:rFonts w:ascii="Sylfaen" w:hAnsi="Sylfaen"/>
          <w:sz w:val="24"/>
          <w:lang w:val="ka-GE"/>
        </w:rPr>
        <w:t>ნიმუში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623525" w:rsidRPr="00623525">
        <w:rPr>
          <w:rFonts w:ascii="Sylfaen" w:hAnsi="Sylfaen"/>
          <w:b/>
          <w:sz w:val="24"/>
          <w:u w:val="single"/>
          <w:lang w:val="ka-GE"/>
        </w:rPr>
        <w:t>22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623525" w:rsidRPr="00623525">
        <w:rPr>
          <w:rFonts w:ascii="Sylfaen" w:hAnsi="Sylfaen"/>
          <w:b/>
          <w:sz w:val="24"/>
          <w:u w:val="single"/>
          <w:lang w:val="ka-GE"/>
        </w:rPr>
        <w:t>7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/>
          <w:sz w:val="24"/>
          <w:u w:val="single"/>
          <w:lang w:val="ka-GE"/>
        </w:rPr>
        <w:t>16</w:t>
      </w:r>
      <w:r w:rsidR="00623525">
        <w:rPr>
          <w:rFonts w:ascii="Sylfaen" w:hAnsi="Sylfaen"/>
          <w:sz w:val="24"/>
          <w:lang w:val="ka-GE"/>
        </w:rPr>
        <w:t xml:space="preserve"> ნიმუში, ქუთაისის ვეტ. ლაბორატორია </w:t>
      </w:r>
      <w:r w:rsidR="00623525" w:rsidRPr="00623525">
        <w:rPr>
          <w:rFonts w:ascii="Sylfaen" w:hAnsi="Sylfaen"/>
          <w:b/>
          <w:sz w:val="24"/>
          <w:u w:val="single"/>
          <w:lang w:val="ka-GE"/>
        </w:rPr>
        <w:t xml:space="preserve">54 </w:t>
      </w:r>
      <w:r w:rsidR="00623525">
        <w:rPr>
          <w:rFonts w:ascii="Sylfaen" w:hAnsi="Sylfaen"/>
          <w:sz w:val="24"/>
          <w:lang w:val="ka-GE"/>
        </w:rPr>
        <w:t xml:space="preserve">ნიმუში </w:t>
      </w:r>
      <w:r w:rsidR="00623525" w:rsidRPr="00623525">
        <w:rPr>
          <w:rFonts w:ascii="Sylfaen" w:hAnsi="Sylfaen"/>
          <w:b/>
          <w:sz w:val="24"/>
          <w:u w:val="single"/>
          <w:lang w:val="ka-GE"/>
        </w:rPr>
        <w:t>2</w:t>
      </w:r>
      <w:r w:rsidR="00623525">
        <w:rPr>
          <w:rFonts w:ascii="Sylfaen" w:hAnsi="Sylfaen"/>
          <w:sz w:val="24"/>
          <w:lang w:val="ka-GE"/>
        </w:rPr>
        <w:t xml:space="preserve"> განმეორებითი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623525">
        <w:rPr>
          <w:rFonts w:ascii="Sylfaen" w:hAnsi="Sylfaen"/>
          <w:b/>
          <w:sz w:val="24"/>
          <w:u w:val="single"/>
          <w:lang w:val="ka-GE"/>
        </w:rPr>
        <w:t>919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623525">
        <w:rPr>
          <w:rFonts w:ascii="Sylfaen" w:hAnsi="Sylfaen"/>
          <w:b/>
          <w:bCs/>
          <w:sz w:val="24"/>
          <w:u w:val="single"/>
          <w:lang w:val="ka-GE"/>
        </w:rPr>
        <w:t>897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პირველადი ნიმუში </w:t>
      </w:r>
    </w:p>
    <w:p w14:paraId="00395F9C" w14:textId="7A956D45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8B1149">
        <w:rPr>
          <w:rFonts w:ascii="Sylfaen" w:hAnsi="Sylfaen"/>
          <w:b/>
          <w:sz w:val="24"/>
          <w:u w:val="single"/>
          <w:lang w:val="ka-GE"/>
        </w:rPr>
        <w:t>10 711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511AB44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8B1149">
        <w:rPr>
          <w:rFonts w:ascii="Sylfaen" w:hAnsi="Sylfaen"/>
          <w:b/>
          <w:sz w:val="24"/>
          <w:u w:val="single"/>
          <w:lang w:val="ka-GE"/>
        </w:rPr>
        <w:t>11 259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4D14136C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62A38">
        <w:rPr>
          <w:rFonts w:ascii="Sylfaen" w:hAnsi="Sylfaen"/>
          <w:b/>
          <w:sz w:val="24"/>
        </w:rPr>
        <w:t>4</w:t>
      </w:r>
      <w:r w:rsidR="00DA2F6C">
        <w:rPr>
          <w:rFonts w:ascii="Sylfaen" w:hAnsi="Sylfaen"/>
          <w:b/>
          <w:sz w:val="24"/>
          <w:lang w:val="ka-GE"/>
        </w:rPr>
        <w:t>56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7B5E459A" w:rsidR="00F32247" w:rsidRPr="0040731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DA2F6C">
        <w:rPr>
          <w:rFonts w:ascii="Sylfaen" w:hAnsi="Sylfaen"/>
          <w:sz w:val="24"/>
        </w:rPr>
        <w:t>25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F62A38">
        <w:rPr>
          <w:rFonts w:ascii="Sylfaen" w:hAnsi="Sylfaen"/>
          <w:sz w:val="24"/>
          <w:lang w:val="ka-GE"/>
        </w:rPr>
        <w:t xml:space="preserve">აქედან </w:t>
      </w:r>
      <w:r w:rsidR="0040731D">
        <w:rPr>
          <w:rFonts w:ascii="Sylfaen" w:hAnsi="Sylfaen"/>
          <w:sz w:val="24"/>
        </w:rPr>
        <w:t xml:space="preserve">4 </w:t>
      </w:r>
      <w:r w:rsidR="0040731D">
        <w:rPr>
          <w:rFonts w:ascii="Sylfaen" w:hAnsi="Sylfaen"/>
          <w:sz w:val="24"/>
          <w:lang w:val="ka-GE"/>
        </w:rPr>
        <w:t>უკავშირდება თავდაცვის სამინისტროს კლასტერს, 5</w:t>
      </w:r>
      <w:r w:rsidR="005D4ECA">
        <w:rPr>
          <w:rFonts w:ascii="Sylfaen" w:hAnsi="Sylfaen"/>
          <w:sz w:val="24"/>
          <w:lang w:val="ka-GE"/>
        </w:rPr>
        <w:t>-ს</w:t>
      </w:r>
      <w:bookmarkStart w:id="0" w:name="_GoBack"/>
      <w:bookmarkEnd w:id="0"/>
      <w:r w:rsidR="0040731D">
        <w:rPr>
          <w:rFonts w:ascii="Sylfaen" w:hAnsi="Sylfaen"/>
          <w:sz w:val="24"/>
          <w:lang w:val="ka-GE"/>
        </w:rPr>
        <w:t xml:space="preserve"> წყარო გაურკვეველია და მიმდინარეობს ჩაღრმავებული ეპიდ კვლევა, დანარჩენი 16 შემთხვევა უკავშირდება დღემდე არსებულ კლასტერებს და დადასტურებულ შემთხვევებს რომელიც დადასტურდნენ ბოლნისში</w:t>
      </w:r>
    </w:p>
    <w:p w14:paraId="558C66F9" w14:textId="7484271A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DA2F6C">
        <w:rPr>
          <w:rFonts w:ascii="Sylfaen" w:hAnsi="Sylfaen"/>
          <w:sz w:val="24"/>
        </w:rPr>
        <w:t>132</w:t>
      </w:r>
    </w:p>
    <w:p w14:paraId="5812E2C1" w14:textId="0C9BE9A9" w:rsidR="00FB1C7C" w:rsidRPr="00F62A38" w:rsidRDefault="00FB1C7C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F62A38">
        <w:rPr>
          <w:rFonts w:ascii="Sylfaen" w:hAnsi="Sylfaen"/>
          <w:sz w:val="24"/>
          <w:lang w:val="ka-GE"/>
        </w:rPr>
        <w:t>5</w:t>
      </w:r>
    </w:p>
    <w:p w14:paraId="69A88C86" w14:textId="429DA0E7" w:rsidR="001066E5" w:rsidRPr="00906DD8" w:rsidRDefault="008B114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C209B44" wp14:editId="065071EB">
            <wp:simplePos x="0" y="0"/>
            <wp:positionH relativeFrom="column">
              <wp:posOffset>-349250</wp:posOffset>
            </wp:positionH>
            <wp:positionV relativeFrom="paragraph">
              <wp:posOffset>4495800</wp:posOffset>
            </wp:positionV>
            <wp:extent cx="7512050" cy="3778250"/>
            <wp:effectExtent l="0" t="0" r="12700" b="12700"/>
            <wp:wrapTight wrapText="bothSides">
              <wp:wrapPolygon edited="0">
                <wp:start x="0" y="0"/>
                <wp:lineTo x="0" y="21564"/>
                <wp:lineTo x="21582" y="21564"/>
                <wp:lineTo x="21582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78" w:rsidRPr="00F27332">
        <w:rPr>
          <w:noProof/>
          <w:sz w:val="16"/>
        </w:rPr>
        <w:drawing>
          <wp:inline distT="0" distB="0" distL="0" distR="0" wp14:anchorId="65A444CA" wp14:editId="47DA09F3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22F5AF" w14:textId="4EA59DA5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24E43A52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640" w:tblpY="50"/>
        <w:tblW w:w="12034" w:type="dxa"/>
        <w:tblLayout w:type="fixed"/>
        <w:tblLook w:val="04A0" w:firstRow="1" w:lastRow="0" w:firstColumn="1" w:lastColumn="0" w:noHBand="0" w:noVBand="1"/>
      </w:tblPr>
      <w:tblGrid>
        <w:gridCol w:w="734"/>
        <w:gridCol w:w="554"/>
        <w:gridCol w:w="486"/>
        <w:gridCol w:w="574"/>
        <w:gridCol w:w="574"/>
        <w:gridCol w:w="574"/>
        <w:gridCol w:w="574"/>
        <w:gridCol w:w="502"/>
        <w:gridCol w:w="574"/>
        <w:gridCol w:w="574"/>
        <w:gridCol w:w="646"/>
        <w:gridCol w:w="502"/>
        <w:gridCol w:w="646"/>
        <w:gridCol w:w="502"/>
        <w:gridCol w:w="574"/>
        <w:gridCol w:w="574"/>
        <w:gridCol w:w="574"/>
        <w:gridCol w:w="574"/>
        <w:gridCol w:w="574"/>
        <w:gridCol w:w="561"/>
        <w:gridCol w:w="587"/>
      </w:tblGrid>
      <w:tr w:rsidR="008B1149" w:rsidRPr="00816178" w14:paraId="0091CC6C" w14:textId="77777777" w:rsidTr="008B1149">
        <w:trPr>
          <w:trHeight w:val="40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1585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  <w:r w:rsidRPr="00816178"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  <w:lastRenderedPageBreak/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77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ლუგარი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FC8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A66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601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EFD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9A2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ბათუმი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2AA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2A0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MEGALAB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19F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CMD LAB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5FC0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</w:tr>
      <w:tr w:rsidR="008B1149" w:rsidRPr="00816178" w14:paraId="65CFB29F" w14:textId="77777777" w:rsidTr="008B1149">
        <w:trPr>
          <w:trHeight w:val="61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E9BA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820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</w:t>
            </w:r>
            <w:proofErr w:type="spellStart"/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ბა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221E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C58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A9F2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77CE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02B9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5597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5C54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B9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0E0E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D27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40E6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345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748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5529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127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8F3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9BE6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9EFE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42D6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81617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განმეორებითი</w:t>
            </w:r>
          </w:p>
        </w:tc>
      </w:tr>
      <w:tr w:rsidR="008B1149" w:rsidRPr="00816178" w14:paraId="47D411FC" w14:textId="77777777" w:rsidTr="008B1149">
        <w:trPr>
          <w:trHeight w:val="40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598C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02.03-31.03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3D4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C7F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66F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88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3BE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F48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5A6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F10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3C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471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4C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67E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463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2C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7B5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959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ABB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F1A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BA3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617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322DE091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BEC6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01.04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7DA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6E8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F81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F85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842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E3F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A17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21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013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CC6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90C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556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B5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46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850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423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8FB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577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829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4B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6C4B1ED0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F6D7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02.04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99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CF2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D87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1EE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5D4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6D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E8D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BF4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BB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121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9F7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862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4B8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41B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87E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B03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EFA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84D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847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C61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20903E41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0AF3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03.04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C9A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8FB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31F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1D2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8EF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B65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A6A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60E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65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06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07B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184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541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8B4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56D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62B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220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6A0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F95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6F0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487E856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0DDE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04.04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D7B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47B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44B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09A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0C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E85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4DC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C4B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2AA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D6F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6F7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A7A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06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995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62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5AD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F8B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4B5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488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392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46FF150B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EA2F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05.04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D6B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8C9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443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E25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420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1F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739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D71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D9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559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486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14C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A25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A67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D19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7E7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9BE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BC0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0AD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A95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5298575E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27CE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06.04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D76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CAB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32A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74B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D16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F6F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870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BF7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46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F1A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DB7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81F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550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53F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59A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6DD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2CB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779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D98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418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5D3E1129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9900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07.04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656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D01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0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E44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CB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87D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F7C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81B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C74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377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DB0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77D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DE0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B73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6D3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54E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38A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E3E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56E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E6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4785E69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38FF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08.04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661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E62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6A4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4F3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986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491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D9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EE1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DEA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18B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1E9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23A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A7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C5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D9D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385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10F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A58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3F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56B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0CB0B919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90E6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09.04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AE9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A9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A2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6E4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C61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8B1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D62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E20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C99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860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D04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FDF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E67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038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109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FDD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4B1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9D3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D5E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6B4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74C639F6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A4EF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4F2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350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222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9B6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42F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070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15A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72D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7D0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290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767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72C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F0B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CEC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9AA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19B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15D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C89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543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BCC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690AF018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8A53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8B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CB7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FBF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C54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AF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D1F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CE4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148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EC6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892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A30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674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4AC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D1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467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3BA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923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72E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7B0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27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6ADCBF39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AE65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452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1CD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A08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5AB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0C5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6AB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858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96B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D2C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F06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ABC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39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25D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BC7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327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AD9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6A7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57E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081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B86B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33A3887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E13F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0B5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360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CAA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BBF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D54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3FB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F0D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A1F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A6B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E15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B46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5E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BCC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8F1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1D6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F35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CCC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0AB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FF0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825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3E217BCF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77E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8C4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7CE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96D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541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4FE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BD3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C95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0CE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EA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44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E3C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DA7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849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670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1B6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4B6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FB8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D09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53E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81F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AC3F508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972E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15.04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978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B6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0A8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EE0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6E9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6DD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F34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AC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976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F5F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135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23C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AE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B80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B18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439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A10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257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231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452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3FC6EF28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8EA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0E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5D3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A00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5FF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949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9F0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9E0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200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754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CCC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1AB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FD4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A29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BF1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A4C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2EB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21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A69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B83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E8E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03B29225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AF31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17.04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C69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55E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C6C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667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9B5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A76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273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01B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545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AC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598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67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EBB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FF8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F0C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F42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666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E01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248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160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2ADBB09A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4984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18.04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30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9BA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818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F27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81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9AF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3B4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45A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BAF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380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05B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2F4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26F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5ED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E933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594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16D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52E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54F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862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4EEDD25A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D26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19.04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166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40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0B9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5AC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48B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AEC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485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D39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667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8AD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1D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C2D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903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936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EFF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B18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474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549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05B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F82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A9BD6FE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B837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20.04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D09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72E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665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562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C64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66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135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FAB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75C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0BF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026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3D6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684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D0D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F93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5BE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408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71B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BBF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C7C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69EDC94F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7C81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21.04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3D7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394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84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D62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98C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880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FCF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69F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371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4C0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CC5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DBA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87E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8FA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7E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966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3C4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D08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6E8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87E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3E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193C2C1E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C978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DE6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FF2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ED3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D28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E2E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8BD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554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266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5F8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3A1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ACB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C85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44E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60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F2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AA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331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7ED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6E8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ECA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2F0E93ED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3AE3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23.04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F4F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276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E9F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755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49C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E92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534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B9A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AE6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9FD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408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DFE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63E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578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9C2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1EB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51A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50D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E64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F98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9CE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8B1149" w:rsidRPr="00816178" w14:paraId="04A8B156" w14:textId="77777777" w:rsidTr="008B1149">
        <w:trPr>
          <w:trHeight w:val="32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B98C" w14:textId="77777777" w:rsidR="008B1149" w:rsidRPr="00816178" w:rsidRDefault="008B1149" w:rsidP="008B114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24.04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108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A7D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DF579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C68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CD6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2C3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B8C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AE1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959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0858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D1D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FB1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9C1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E63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86D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106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F3FE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04D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23A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1043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</w:tr>
      <w:tr w:rsidR="008B1149" w:rsidRPr="00816178" w14:paraId="78641ABD" w14:textId="77777777" w:rsidTr="008B1149">
        <w:trPr>
          <w:trHeight w:val="3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ECE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proofErr w:type="spellStart"/>
            <w:r w:rsidRPr="00816178">
              <w:rPr>
                <w:rFonts w:ascii="Sylfaen" w:eastAsia="Times New Roman" w:hAnsi="Sylfaen" w:cs="Sylfaen"/>
                <w:b/>
                <w:color w:val="000000"/>
                <w:sz w:val="18"/>
              </w:rPr>
              <w:t>სულ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6B9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5503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10E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288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F72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1602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D14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40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8424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2547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14A5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74B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958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EA8F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252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404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539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8C7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165C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B2F1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EBA7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3FAD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A9D6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565A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8BD7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AC7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5620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D2C2" w14:textId="77777777" w:rsidR="008B1149" w:rsidRPr="00816178" w:rsidRDefault="008B1149" w:rsidP="008B114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816178">
              <w:rPr>
                <w:rFonts w:ascii="Sylfaen" w:eastAsia="Times New Roman" w:hAnsi="Sylfaen" w:cs="Arial"/>
                <w:b/>
                <w:color w:val="000000"/>
                <w:sz w:val="18"/>
              </w:rPr>
              <w:t>2</w:t>
            </w:r>
          </w:p>
        </w:tc>
      </w:tr>
    </w:tbl>
    <w:p w14:paraId="72F6AE70" w14:textId="77777777" w:rsidR="00E440C4" w:rsidRDefault="00E440C4" w:rsidP="008B1149">
      <w:pPr>
        <w:tabs>
          <w:tab w:val="left" w:pos="3150"/>
        </w:tabs>
        <w:ind w:left="-180" w:hanging="540"/>
        <w:jc w:val="both"/>
        <w:rPr>
          <w:rFonts w:ascii="Sylfaen" w:hAnsi="Sylfaen"/>
          <w:bCs/>
          <w:sz w:val="24"/>
          <w:lang w:val="ka-GE"/>
        </w:rPr>
      </w:pPr>
    </w:p>
    <w:p w14:paraId="7C8EFF69" w14:textId="074972AC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4E961BF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57A6F0" w14:textId="27C0DF51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35AC3B20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2B6510B8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A040BA7" w14:textId="77777777" w:rsidR="008B1149" w:rsidRDefault="008B114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83FDF49" w14:textId="77777777" w:rsidR="008B1149" w:rsidRDefault="008B114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565B049" w14:textId="77777777" w:rsidR="008B1149" w:rsidRDefault="008B114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F3F315E" w14:textId="3A17CC19" w:rsidR="00E440C4" w:rsidRDefault="008B114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3DFDA363" wp14:editId="4E8A1285">
            <wp:extent cx="6563995" cy="3271237"/>
            <wp:effectExtent l="0" t="0" r="8255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55CAC7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450EFC8" w14:textId="1984D381" w:rsidR="00E440C4" w:rsidRDefault="008B1149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noProof/>
          <w:sz w:val="24"/>
        </w:rPr>
        <w:drawing>
          <wp:inline distT="0" distB="0" distL="0" distR="0" wp14:anchorId="6BB529D1" wp14:editId="3AB15205">
            <wp:extent cx="6984690" cy="3022600"/>
            <wp:effectExtent l="0" t="0" r="698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927" cy="3049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BD466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0E039ED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51B1003" w14:textId="56FD9226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2A4237E8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96779A6" w14:textId="58DC9019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21B2C241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216C795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EF375F8" w14:textId="77777777" w:rsidR="00DF18FA" w:rsidRPr="000519ED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DFA94A6" w14:textId="1FC0FF04" w:rsidR="00070099" w:rsidRPr="00DA7131" w:rsidRDefault="008B1149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25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15A78748" w:rsidR="00233A0F" w:rsidRPr="00233A0F" w:rsidRDefault="00DA2F6C" w:rsidP="00070099">
      <w:pPr>
        <w:jc w:val="both"/>
        <w:rPr>
          <w:rFonts w:ascii="Sylfaen" w:hAnsi="Sylfaen"/>
          <w:sz w:val="24"/>
          <w:lang w:val="ka-GE"/>
        </w:rPr>
      </w:pPr>
      <w:r w:rsidRPr="00DA2F6C">
        <w:rPr>
          <w:rFonts w:ascii="Sylfaen" w:hAnsi="Sylfaen"/>
          <w:b/>
          <w:bCs/>
          <w:sz w:val="24"/>
          <w:u w:val="single"/>
        </w:rPr>
        <w:t>2,831,860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DA2F6C">
        <w:rPr>
          <w:rFonts w:ascii="Sylfaen" w:hAnsi="Sylfaen"/>
          <w:b/>
          <w:bCs/>
          <w:sz w:val="24"/>
          <w:u w:val="single"/>
        </w:rPr>
        <w:t>807,010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DA2F6C">
        <w:rPr>
          <w:rFonts w:ascii="Sylfaen" w:hAnsi="Sylfaen"/>
          <w:b/>
          <w:bCs/>
          <w:sz w:val="24"/>
          <w:u w:val="single"/>
        </w:rPr>
        <w:t>197,318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699" w:type="dxa"/>
        <w:tblLook w:val="04A0" w:firstRow="1" w:lastRow="0" w:firstColumn="1" w:lastColumn="0" w:noHBand="0" w:noVBand="1"/>
      </w:tblPr>
      <w:tblGrid>
        <w:gridCol w:w="3647"/>
        <w:gridCol w:w="2811"/>
        <w:gridCol w:w="2107"/>
        <w:gridCol w:w="2134"/>
      </w:tblGrid>
      <w:tr w:rsidR="00DA2F6C" w:rsidRPr="00DA2F6C" w14:paraId="3173B3D1" w14:textId="77777777" w:rsidTr="00DA2F6C">
        <w:trPr>
          <w:trHeight w:val="115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ACB48F3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3BA4708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C43AC97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B40D68C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DA2F6C" w:rsidRPr="00DA2F6C" w14:paraId="34F094BC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C6359D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0395F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925232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9CD49D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52193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954122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5.64</w:t>
            </w:r>
          </w:p>
        </w:tc>
      </w:tr>
      <w:tr w:rsidR="00DA2F6C" w:rsidRPr="00DA2F6C" w14:paraId="41B6AFD1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2FB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A321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219764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875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22524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E3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10.25</w:t>
            </w:r>
          </w:p>
        </w:tc>
      </w:tr>
      <w:tr w:rsidR="00DA2F6C" w:rsidRPr="00DA2F6C" w14:paraId="62E75625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83B95F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6B4031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192994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8A40A2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25969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DE86D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13.46</w:t>
            </w:r>
          </w:p>
        </w:tc>
      </w:tr>
      <w:tr w:rsidR="00DA2F6C" w:rsidRPr="00DA2F6C" w14:paraId="33515827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AF31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E4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159828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D0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22245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C3F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13.92</w:t>
            </w:r>
          </w:p>
        </w:tc>
      </w:tr>
      <w:tr w:rsidR="00DA2F6C" w:rsidRPr="00DA2F6C" w14:paraId="275CCE6D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AF8CC9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B8D2D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154999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7D311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5760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D0EE8F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3.72</w:t>
            </w:r>
          </w:p>
        </w:tc>
      </w:tr>
      <w:tr w:rsidR="00DA2F6C" w:rsidRPr="00DA2F6C" w14:paraId="7B92063D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359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63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143464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D8F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19506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A87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13.60</w:t>
            </w:r>
          </w:p>
        </w:tc>
      </w:tr>
      <w:tr w:rsidR="00DA2F6C" w:rsidRPr="00DA2F6C" w14:paraId="21976042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065343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B509FC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104912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4CB775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2600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26ABBD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2.48</w:t>
            </w:r>
          </w:p>
        </w:tc>
      </w:tr>
      <w:tr w:rsidR="00DA2F6C" w:rsidRPr="00DA2F6C" w14:paraId="3646CE6A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86E3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42D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88194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06D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5574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AA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6.32</w:t>
            </w:r>
          </w:p>
        </w:tc>
      </w:tr>
      <w:tr w:rsidR="00DA2F6C" w:rsidRPr="00DA2F6C" w14:paraId="11241254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69921F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17926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82816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57EC1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08AEBB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DA2F6C" w:rsidRPr="00DA2F6C" w14:paraId="4BF57FB0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48D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CC5D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68622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F2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C60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0.90</w:t>
            </w:r>
          </w:p>
        </w:tc>
      </w:tr>
      <w:tr w:rsidR="00DA2F6C" w:rsidRPr="00DA2F6C" w14:paraId="59DD2F69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306159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13681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54043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8C8B7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3704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CEA001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6.85</w:t>
            </w:r>
          </w:p>
        </w:tc>
      </w:tr>
      <w:tr w:rsidR="00DA2F6C" w:rsidRPr="00DA2F6C" w14:paraId="7328034D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250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182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44293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5C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6679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4D0F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15.08</w:t>
            </w:r>
          </w:p>
        </w:tc>
      </w:tr>
      <w:tr w:rsidR="00DA2F6C" w:rsidRPr="00DA2F6C" w14:paraId="15E396A2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138C6B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FED0FE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43888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A47E3B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2302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8B9518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5.25</w:t>
            </w:r>
          </w:p>
        </w:tc>
      </w:tr>
      <w:tr w:rsidR="00DA2F6C" w:rsidRPr="00DA2F6C" w14:paraId="73FB4B8D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151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0AC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36535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DB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4289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D9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11.74</w:t>
            </w:r>
          </w:p>
        </w:tc>
      </w:tr>
      <w:tr w:rsidR="00DA2F6C" w:rsidRPr="00DA2F6C" w14:paraId="7FC56F25" w14:textId="77777777" w:rsidTr="00DA2F6C">
        <w:trPr>
          <w:trHeight w:val="28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8E678C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271B2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28677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48C6D0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1589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FFDCC5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5.54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779" w:type="dxa"/>
        <w:tblLook w:val="04A0" w:firstRow="1" w:lastRow="0" w:firstColumn="1" w:lastColumn="0" w:noHBand="0" w:noVBand="1"/>
      </w:tblPr>
      <w:tblGrid>
        <w:gridCol w:w="2549"/>
        <w:gridCol w:w="3333"/>
        <w:gridCol w:w="2405"/>
        <w:gridCol w:w="2492"/>
      </w:tblGrid>
      <w:tr w:rsidR="00DA2F6C" w:rsidRPr="00DA2F6C" w14:paraId="21502BA8" w14:textId="77777777" w:rsidTr="00DA2F6C">
        <w:trPr>
          <w:trHeight w:val="13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6C4366F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06930CB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E81A7E0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F1204D4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DA2F6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2F6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DA2F6C" w:rsidRPr="00DA2F6C" w14:paraId="17AA6E86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A7A293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14B361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1596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3238C5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B8E808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1.69</w:t>
            </w:r>
          </w:p>
        </w:tc>
      </w:tr>
      <w:tr w:rsidR="00DA2F6C" w:rsidRPr="00DA2F6C" w14:paraId="474D542F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8A6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419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1592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4AFA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1D28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1.32</w:t>
            </w:r>
          </w:p>
        </w:tc>
      </w:tr>
      <w:tr w:rsidR="00DA2F6C" w:rsidRPr="00DA2F6C" w14:paraId="290B4850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A361F1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F156B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7647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9836D9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193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7CD52F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2.52</w:t>
            </w:r>
          </w:p>
        </w:tc>
      </w:tr>
      <w:tr w:rsidR="00DA2F6C" w:rsidRPr="00DA2F6C" w14:paraId="1FF7E3B9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EF8B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019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8773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FA8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48C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0.72</w:t>
            </w:r>
          </w:p>
        </w:tc>
      </w:tr>
      <w:tr w:rsidR="00DA2F6C" w:rsidRPr="00DA2F6C" w14:paraId="5D6178FD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E7E0EA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AC2707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3110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623652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CACE8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2.70</w:t>
            </w:r>
          </w:p>
        </w:tc>
      </w:tr>
      <w:tr w:rsidR="00DA2F6C" w:rsidRPr="00DA2F6C" w14:paraId="451CC997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66C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861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2416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7DA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E46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1.03</w:t>
            </w:r>
          </w:p>
        </w:tc>
      </w:tr>
      <w:tr w:rsidR="00DA2F6C" w:rsidRPr="00DA2F6C" w14:paraId="07523E6A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6E90DA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B7E3B9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1804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A7F2AC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156862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0.44</w:t>
            </w:r>
          </w:p>
        </w:tc>
      </w:tr>
      <w:tr w:rsidR="00DA2F6C" w:rsidRPr="00DA2F6C" w14:paraId="6D95963A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A12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78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656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5A3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FA3B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1.22</w:t>
            </w:r>
          </w:p>
        </w:tc>
      </w:tr>
      <w:tr w:rsidR="00DA2F6C" w:rsidRPr="00DA2F6C" w14:paraId="2D1E5458" w14:textId="77777777" w:rsidTr="00DA2F6C">
        <w:trPr>
          <w:trHeight w:val="32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B12562" w14:textId="77777777" w:rsidR="00DA2F6C" w:rsidRPr="00DA2F6C" w:rsidRDefault="00DA2F6C" w:rsidP="00DA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F3F340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1351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C79F24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43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30E717" w14:textId="77777777" w:rsidR="00DA2F6C" w:rsidRPr="00DA2F6C" w:rsidRDefault="00DA2F6C" w:rsidP="00DA2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2F6C">
              <w:rPr>
                <w:rFonts w:ascii="Calibri" w:eastAsia="Times New Roman" w:hAnsi="Calibri" w:cs="Calibri"/>
                <w:color w:val="000000"/>
                <w:lang w:val="ka-GE"/>
              </w:rPr>
              <w:t>3.18</w:t>
            </w:r>
          </w:p>
        </w:tc>
      </w:tr>
    </w:tbl>
    <w:p w14:paraId="44227D41" w14:textId="136598BB" w:rsidR="005D4ECA" w:rsidRPr="005D4ECA" w:rsidRDefault="005D4ECA" w:rsidP="005D4ECA">
      <w:pPr>
        <w:pStyle w:val="NormalWeb"/>
        <w:rPr>
          <w:rFonts w:ascii="Calibri" w:hAnsi="Calibri" w:cs="Calibri"/>
          <w:b/>
          <w:color w:val="000000"/>
          <w:lang w:val="ka-GE"/>
        </w:rPr>
      </w:pPr>
      <w:r w:rsidRPr="005D4ECA">
        <w:rPr>
          <w:rFonts w:ascii="Calibri" w:hAnsi="Calibri" w:cs="Calibri"/>
          <w:b/>
          <w:color w:val="000000"/>
          <w:lang w:val="ka-GE"/>
        </w:rPr>
        <w:lastRenderedPageBreak/>
        <w:t>ინფორმაცია ღვანკითში გატარებული ღონისძიებების შესახებ (მოწოდებულია ჩვენი ცენტრის იმერეთის სამმართველოს მიერ).</w:t>
      </w:r>
    </w:p>
    <w:p w14:paraId="7A2BF642" w14:textId="77777777" w:rsidR="005D4ECA" w:rsidRDefault="005D4ECA" w:rsidP="005D4ECA">
      <w:pPr>
        <w:pStyle w:val="NormalWeb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მოგეხსენებათ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მიმდინარე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წლის</w:t>
      </w:r>
      <w:proofErr w:type="spellEnd"/>
      <w:r>
        <w:rPr>
          <w:rFonts w:ascii="Calibri" w:hAnsi="Calibri" w:cs="Calibri"/>
          <w:color w:val="000000"/>
        </w:rPr>
        <w:t xml:space="preserve"> 23 </w:t>
      </w:r>
      <w:proofErr w:type="spellStart"/>
      <w:r>
        <w:rPr>
          <w:rFonts w:ascii="Calibri" w:hAnsi="Calibri" w:cs="Calibri"/>
          <w:color w:val="000000"/>
        </w:rPr>
        <w:t>აპრილის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დილის</w:t>
      </w:r>
      <w:proofErr w:type="spellEnd"/>
      <w:r>
        <w:rPr>
          <w:rFonts w:ascii="Calibri" w:hAnsi="Calibri" w:cs="Calibri"/>
          <w:color w:val="000000"/>
        </w:rPr>
        <w:t xml:space="preserve"> 6.00 </w:t>
      </w:r>
      <w:proofErr w:type="spellStart"/>
      <w:r>
        <w:rPr>
          <w:rFonts w:ascii="Calibri" w:hAnsi="Calibri" w:cs="Calibri"/>
          <w:color w:val="000000"/>
        </w:rPr>
        <w:t>საათიდან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თერჯოლის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რაიონის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სოფელ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ღვანკითში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გამოცხადდა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კარანტინი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კარანტინის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გამოცხადების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აუცილებლობა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განპირობა</w:t>
      </w:r>
      <w:proofErr w:type="spellEnd"/>
      <w:r>
        <w:rPr>
          <w:rFonts w:ascii="Calibri" w:hAnsi="Calibri" w:cs="Calibri"/>
          <w:color w:val="000000"/>
        </w:rPr>
        <w:t xml:space="preserve">,  </w:t>
      </w:r>
      <w:proofErr w:type="spellStart"/>
      <w:r>
        <w:rPr>
          <w:rFonts w:ascii="Calibri" w:hAnsi="Calibri" w:cs="Calibri"/>
          <w:color w:val="000000"/>
        </w:rPr>
        <w:t>სოფელში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Sylfaen" w:hAnsi="Sylfaen" w:cstheme="minorBidi"/>
          <w:color w:val="000000"/>
          <w:sz w:val="22"/>
          <w:szCs w:val="22"/>
          <w:lang w:val="ka-GE"/>
        </w:rPr>
        <w:t>8 აპრილს, PCR მეთოდით, ჩატარებული ლაბორატორიული კვლევით დადასტურებული პირველი კორონავირუსით  ინფიცირების შემთხვევის პირველ წყაროსა და კონტაქტების შესწავლის პროცესში,  შიდა გადაცემის შემთხვევების იდენტიფიკაციამ და  კიდევ ერთი PCR დადებითი პაციენტის და 8 ანტისხეულებზე დადებითი პაციენტის აღმოჩენის ფაქტმა.</w:t>
      </w:r>
    </w:p>
    <w:p w14:paraId="03934568" w14:textId="77777777" w:rsidR="005D4ECA" w:rsidRDefault="005D4ECA" w:rsidP="005D4ECA">
      <w:pPr>
        <w:pStyle w:val="NormalWeb"/>
        <w:rPr>
          <w:rFonts w:ascii="Calibri" w:hAnsi="Calibri" w:cs="Calibri"/>
          <w:color w:val="000000"/>
        </w:rPr>
      </w:pPr>
    </w:p>
    <w:p w14:paraId="43DA4AF9" w14:textId="77777777" w:rsidR="005D4ECA" w:rsidRDefault="005D4ECA" w:rsidP="005D4ECA">
      <w:pPr>
        <w:pStyle w:val="NormalWeb"/>
        <w:rPr>
          <w:rFonts w:ascii="Calibri" w:hAnsi="Calibri" w:cs="Calibri"/>
          <w:color w:val="000000"/>
        </w:rPr>
      </w:pPr>
      <w:r>
        <w:rPr>
          <w:rFonts w:ascii="Sylfaen" w:hAnsi="Sylfaen" w:cstheme="minorBidi"/>
          <w:color w:val="000000"/>
          <w:sz w:val="22"/>
          <w:szCs w:val="22"/>
          <w:lang w:val="ka-GE"/>
        </w:rPr>
        <w:t>კარანტინის ფარგლებში: </w:t>
      </w:r>
    </w:p>
    <w:p w14:paraId="287B0208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მოეწყო 5 ლოკაციაზე ბლოკ პოსტი, პოლიციის და თავდაცვის სამინისტროს ერთობლივი ძალისხმევით</w:t>
      </w:r>
    </w:p>
    <w:p w14:paraId="1209C301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შეიზღუდა, სოფელში შესვლა და გამოსვლა. </w:t>
      </w:r>
    </w:p>
    <w:p w14:paraId="1B8AA587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იმ პირებს ვისაც მიეცათ საშვი გადაადგილებისა, ყოველ შესვლასა და გამოსვლაზე უტარდებათ თერმო სკრინინგი</w:t>
      </w:r>
      <w:r>
        <w:rPr>
          <w:rFonts w:ascii="Calibri" w:eastAsia="Times New Roman" w:hAnsi="Calibri" w:cs="Calibri"/>
          <w:color w:val="000000"/>
        </w:rPr>
        <w:t> </w:t>
      </w:r>
    </w:p>
    <w:p w14:paraId="30FCED4F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მკაცრ კონტროლზეა მოხდა აყვანა თვითიზოლაციაში მყოფი პირებისა.</w:t>
      </w:r>
    </w:p>
    <w:p w14:paraId="7228AB31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დაიწყო და განხორციელდა კიდეც საკარდაკარო თერმო სკრინინგი და ეპიდემიოლოგიური კვლევა შესაძლო და სიმპტომური პაციენტების იდენტიფიკაციის მიზნით</w:t>
      </w:r>
    </w:p>
    <w:p w14:paraId="1D3C592F" w14:textId="77777777" w:rsidR="005D4ECA" w:rsidRDefault="005D4ECA" w:rsidP="005D4E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Sylfaen" w:hAnsi="Sylfaen"/>
          <w:color w:val="000000"/>
          <w:lang w:val="ka-GE"/>
        </w:rPr>
        <w:t>ჩატარდა კონტაქტებში და სიმპტომურ პირებში ლაბორატორიული კვლევები პჯრ მეთოდით და ასევე ანტისხეულების აღმომჩენი სწრაფი ტესტით.</w:t>
      </w:r>
    </w:p>
    <w:p w14:paraId="4B72F90C" w14:textId="3BA0FFCC" w:rsidR="005D4ECA" w:rsidRDefault="005D4ECA" w:rsidP="005D4ECA">
      <w:pPr>
        <w:rPr>
          <w:rFonts w:ascii="Calibri" w:eastAsia="Times New Roman" w:hAnsi="Calibri" w:cs="Calibri"/>
          <w:color w:val="000000"/>
        </w:rPr>
      </w:pP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დღეის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მდგომარეობით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სულ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თერმოსკრინინგი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ეპიდკვლევა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ჩატარდა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1862 </w:t>
      </w:r>
      <w:proofErr w:type="spellStart"/>
      <w:r>
        <w:rPr>
          <w:rFonts w:ascii="Sylfaen" w:eastAsia="Times New Roman" w:hAnsi="Sylfaen" w:cs="Calibri"/>
          <w:color w:val="000000"/>
        </w:rPr>
        <w:t>პირის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. 538 </w:t>
      </w:r>
      <w:proofErr w:type="spellStart"/>
      <w:r>
        <w:rPr>
          <w:rFonts w:ascii="Sylfaen" w:eastAsia="Times New Roman" w:hAnsi="Sylfaen" w:cs="Calibri"/>
          <w:color w:val="000000"/>
        </w:rPr>
        <w:t>პირი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რომელიც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ასევე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რეგისტრირებულია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ამ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სოფელში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ამჟამად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ფაქტობტრივად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იქ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არ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იმყოფება</w:t>
      </w:r>
      <w:proofErr w:type="spellEnd"/>
      <w:r>
        <w:rPr>
          <w:rFonts w:ascii="Sylfaen" w:eastAsia="Times New Roman" w:hAnsi="Sylfaen" w:cs="Calibri"/>
          <w:color w:val="000000"/>
        </w:rPr>
        <w:t>. </w:t>
      </w:r>
    </w:p>
    <w:p w14:paraId="007058DC" w14:textId="2A820D7D" w:rsidR="005D4ECA" w:rsidRDefault="005D4ECA" w:rsidP="005D4ECA">
      <w:pPr>
        <w:rPr>
          <w:rFonts w:ascii="Calibri" w:eastAsia="Times New Roman" w:hAnsi="Calibri" w:cs="Calibri"/>
          <w:color w:val="000000"/>
        </w:rPr>
      </w:pP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გასული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ორი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დღის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ადგილზე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დადასტურებული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სავარაუდო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შემთხვევების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კონტაქტებიდან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დამატებით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განხორციელდა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კიდევ</w:t>
      </w:r>
      <w:proofErr w:type="spellEnd"/>
      <w:r>
        <w:rPr>
          <w:rFonts w:ascii="Sylfaen" w:eastAsia="Times New Roman" w:hAnsi="Sylfaen" w:cs="Calibri"/>
          <w:color w:val="000000"/>
        </w:rPr>
        <w:t xml:space="preserve"> 36 </w:t>
      </w:r>
      <w:proofErr w:type="spellStart"/>
      <w:r>
        <w:rPr>
          <w:rFonts w:ascii="Sylfaen" w:eastAsia="Times New Roman" w:hAnsi="Sylfaen" w:cs="Calibri"/>
          <w:color w:val="000000"/>
        </w:rPr>
        <w:t>პირის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ნიმუშის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აღება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აქედან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დადებითი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კორონავირუსის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ანტისხეულებზე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აღმოჩნდა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კიდევ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ორი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მოქალაქის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ნიმუში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. </w:t>
      </w: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დღეს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დილით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ორივე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მათგანი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გადაყვანილია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ლჯ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კომპანიში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კლინიკური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დიაგნოსტირებისა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მკურნალობის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მიზნით</w:t>
      </w:r>
      <w:proofErr w:type="spellEnd"/>
      <w:r>
        <w:rPr>
          <w:rFonts w:ascii="Sylfaen" w:eastAsia="Times New Roman" w:hAnsi="Sylfaen" w:cs="Calibri"/>
          <w:color w:val="000000"/>
        </w:rPr>
        <w:t>. </w:t>
      </w:r>
    </w:p>
    <w:p w14:paraId="3513FCC7" w14:textId="5A4C446F" w:rsidR="005D4ECA" w:rsidRDefault="005D4ECA" w:rsidP="005D4ECA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Calibri"/>
          <w:color w:val="000000"/>
        </w:rPr>
        <w:t xml:space="preserve">25აპრილის </w:t>
      </w:r>
      <w:proofErr w:type="spellStart"/>
      <w:r>
        <w:rPr>
          <w:rFonts w:ascii="Sylfaen" w:eastAsia="Times New Roman" w:hAnsi="Sylfaen" w:cs="Calibri"/>
          <w:color w:val="000000"/>
        </w:rPr>
        <w:t>დილიდან</w:t>
      </w:r>
      <w:proofErr w:type="spellEnd"/>
      <w:r>
        <w:rPr>
          <w:rFonts w:ascii="Sylfaen" w:eastAsia="Times New Roman" w:hAnsi="Sylfaen" w:cs="Calibri"/>
          <w:color w:val="000000"/>
        </w:rPr>
        <w:t>,</w:t>
      </w:r>
      <w:proofErr w:type="gramStart"/>
      <w:r>
        <w:rPr>
          <w:rFonts w:ascii="Sylfaen" w:eastAsia="Times New Roman" w:hAnsi="Sylfaen" w:cs="Calibri"/>
          <w:color w:val="000000"/>
        </w:rPr>
        <w:t xml:space="preserve">  </w:t>
      </w:r>
      <w:proofErr w:type="spellStart"/>
      <w:r>
        <w:rPr>
          <w:rFonts w:ascii="Sylfaen" w:eastAsia="Times New Roman" w:hAnsi="Sylfaen" w:cs="Calibri"/>
          <w:color w:val="000000"/>
        </w:rPr>
        <w:t>კიდევ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განვაგრძობთ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კონტაქტების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შესწავლას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დამატებით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დაგეგმილია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კიდევ</w:t>
      </w:r>
      <w:proofErr w:type="spellEnd"/>
      <w:r>
        <w:rPr>
          <w:rFonts w:ascii="Sylfaen" w:eastAsia="Times New Roman" w:hAnsi="Sylfaen" w:cs="Calibri"/>
          <w:color w:val="000000"/>
        </w:rPr>
        <w:t xml:space="preserve"> 8 </w:t>
      </w:r>
      <w:proofErr w:type="spellStart"/>
      <w:r>
        <w:rPr>
          <w:rFonts w:ascii="Sylfaen" w:eastAsia="Times New Roman" w:hAnsi="Sylfaen" w:cs="Calibri"/>
          <w:color w:val="000000"/>
        </w:rPr>
        <w:t>პაციენტისაგან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ნიმუშების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აღება</w:t>
      </w:r>
      <w:proofErr w:type="spellEnd"/>
      <w:r>
        <w:rPr>
          <w:rFonts w:ascii="Sylfaen" w:eastAsia="Times New Roman" w:hAnsi="Sylfaen" w:cs="Calibri"/>
          <w:color w:val="000000"/>
        </w:rPr>
        <w:t xml:space="preserve">. </w:t>
      </w: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აღნიშნული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პაციენტები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დაიდენტიფიცირდა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ეპიდკვლევის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ფარგლებში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ისინი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ამჟამად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არ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აფიქსირებენ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რაიმე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მწვავე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რესპირატორულ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სიმპტომებს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მაგრამ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მსგავსი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სიმპტომები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მათივე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ინფორმაციით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აღენიშნებოდათ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ბოლო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ორი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კვირის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ეპიზოდურად</w:t>
      </w:r>
      <w:proofErr w:type="spellEnd"/>
      <w:r>
        <w:rPr>
          <w:rFonts w:ascii="Sylfaen" w:eastAsia="Times New Roman" w:hAnsi="Sylfaen" w:cs="Calibri"/>
          <w:color w:val="000000"/>
        </w:rPr>
        <w:t>. </w:t>
      </w:r>
    </w:p>
    <w:p w14:paraId="40308986" w14:textId="3AEA2FDD" w:rsidR="005D4ECA" w:rsidRDefault="005D4ECA" w:rsidP="005D4ECA">
      <w:pPr>
        <w:rPr>
          <w:rFonts w:ascii="Calibri" w:eastAsia="Times New Roman" w:hAnsi="Calibri" w:cs="Calibri"/>
          <w:color w:val="000000"/>
        </w:rPr>
      </w:pP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აქვე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უნდა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აღინიშნოს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ღვანკითის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სოციალური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ჯგუფის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შესწავლის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პროცესში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სოფლის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ოჯახის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ექიმის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ქალბატონი</w:t>
      </w:r>
      <w:proofErr w:type="spellEnd"/>
      <w:r>
        <w:rPr>
          <w:rFonts w:ascii="Sylfaen" w:eastAsia="Times New Roman" w:hAnsi="Sylfaen" w:cs="Calibri"/>
          <w:color w:val="000000"/>
        </w:rPr>
        <w:t> </w:t>
      </w:r>
      <w:proofErr w:type="spellStart"/>
      <w:r>
        <w:rPr>
          <w:rFonts w:ascii="Sylfaen" w:eastAsia="Times New Roman" w:hAnsi="Sylfaen" w:cs="Calibri"/>
          <w:color w:val="000000"/>
        </w:rPr>
        <w:t>ირმა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ბურჯანაძე</w:t>
      </w:r>
      <w:proofErr w:type="spellEnd"/>
      <w:r>
        <w:rPr>
          <w:rFonts w:ascii="Sylfaen" w:eastAsia="Times New Roman" w:hAnsi="Sylfaen" w:cs="Calibri"/>
          <w:color w:val="000000"/>
        </w:rPr>
        <w:t xml:space="preserve">, </w:t>
      </w:r>
      <w:proofErr w:type="spellStart"/>
      <w:r>
        <w:rPr>
          <w:rFonts w:ascii="Sylfaen" w:eastAsia="Times New Roman" w:hAnsi="Sylfaen" w:cs="Calibri"/>
          <w:color w:val="000000"/>
        </w:rPr>
        <w:t>ასევე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თერჯოლის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საზოგადოებრივი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ჯანდაცვის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ცენტრის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ხელმძღვანელის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თამილა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არჯევანიძე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ძალზედ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ეფექტური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მუშაობა</w:t>
      </w:r>
      <w:proofErr w:type="spellEnd"/>
      <w:r>
        <w:rPr>
          <w:rFonts w:ascii="Sylfaen" w:eastAsia="Times New Roman" w:hAnsi="Sylfaen" w:cs="Calibri"/>
          <w:color w:val="000000"/>
        </w:rPr>
        <w:t xml:space="preserve">. </w:t>
      </w: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მათ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შეძლეს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ისტორიების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  </w:t>
      </w:r>
      <w:proofErr w:type="spellStart"/>
      <w:r>
        <w:rPr>
          <w:rFonts w:ascii="Sylfaen" w:eastAsia="Times New Roman" w:hAnsi="Sylfaen" w:cs="Calibri"/>
          <w:color w:val="000000"/>
        </w:rPr>
        <w:t>ჩანაწერების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ანალიზით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გამოევლინათ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ბოლო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ერთი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თვის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ავადობის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შემთხვევები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ამ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ინფორმაციაზე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დაყრდნობით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მოხდა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სწორედ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ახალი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შესაძლო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შემთხვევების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შემდგომი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ლაბორატორიული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დადასტურება</w:t>
      </w:r>
      <w:proofErr w:type="spellEnd"/>
      <w:r>
        <w:rPr>
          <w:rFonts w:ascii="Sylfaen" w:eastAsia="Times New Roman" w:hAnsi="Sylfaen" w:cs="Calibri"/>
          <w:color w:val="000000"/>
        </w:rPr>
        <w:t>. </w:t>
      </w:r>
    </w:p>
    <w:p w14:paraId="2118BBEA" w14:textId="77777777" w:rsidR="005D4ECA" w:rsidRDefault="005D4ECA" w:rsidP="005D4ECA">
      <w:pPr>
        <w:rPr>
          <w:rFonts w:ascii="Calibri" w:eastAsia="Times New Roman" w:hAnsi="Calibri" w:cs="Calibri"/>
          <w:color w:val="000000"/>
        </w:rPr>
      </w:pP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ამჟამად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სიტუაცია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კონტროლს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ექვემდებარება</w:t>
      </w:r>
      <w:proofErr w:type="spellEnd"/>
      <w:r>
        <w:rPr>
          <w:rFonts w:ascii="Sylfaen" w:eastAsia="Times New Roman" w:hAnsi="Sylfaen" w:cs="Calibri"/>
          <w:color w:val="000000"/>
        </w:rPr>
        <w:t xml:space="preserve">. </w:t>
      </w:r>
      <w:proofErr w:type="spellStart"/>
      <w:proofErr w:type="gramStart"/>
      <w:r>
        <w:rPr>
          <w:rFonts w:ascii="Sylfaen" w:eastAsia="Times New Roman" w:hAnsi="Sylfaen" w:cs="Calibri"/>
          <w:color w:val="000000"/>
        </w:rPr>
        <w:t>როგორც</w:t>
      </w:r>
      <w:proofErr w:type="spellEnd"/>
      <w:proofErr w:type="gram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უკვე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აღვნიშნე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დამატებით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კიდევ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გვაქვს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კვლევები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დაგეგმილი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და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შემდგომ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ინფორმაციას</w:t>
      </w:r>
      <w:proofErr w:type="spellEnd"/>
      <w:r>
        <w:rPr>
          <w:rFonts w:ascii="Sylfaen" w:eastAsia="Times New Roman" w:hAnsi="Sylfaen" w:cs="Calibri"/>
          <w:color w:val="000000"/>
        </w:rPr>
        <w:t> </w:t>
      </w:r>
      <w:proofErr w:type="spellStart"/>
      <w:r>
        <w:rPr>
          <w:rFonts w:ascii="Sylfaen" w:eastAsia="Times New Roman" w:hAnsi="Sylfaen" w:cs="Calibri"/>
          <w:color w:val="000000"/>
        </w:rPr>
        <w:t>მიმდინარეობის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შესახებ</w:t>
      </w:r>
      <w:proofErr w:type="spellEnd"/>
      <w:r>
        <w:rPr>
          <w:rFonts w:ascii="Sylfaen" w:eastAsia="Times New Roman" w:hAnsi="Sylfaen" w:cs="Calibri"/>
          <w:color w:val="000000"/>
        </w:rPr>
        <w:t> </w:t>
      </w:r>
      <w:proofErr w:type="spellStart"/>
      <w:r>
        <w:rPr>
          <w:rFonts w:ascii="Sylfaen" w:eastAsia="Times New Roman" w:hAnsi="Sylfaen" w:cs="Calibri"/>
          <w:color w:val="000000"/>
        </w:rPr>
        <w:t>მოგაწვდით</w:t>
      </w:r>
      <w:proofErr w:type="spellEnd"/>
      <w:r>
        <w:rPr>
          <w:rFonts w:ascii="Sylfaen" w:eastAsia="Times New Roman" w:hAnsi="Sylfaen" w:cs="Calibri"/>
          <w:color w:val="000000"/>
        </w:rPr>
        <w:t xml:space="preserve"> .</w:t>
      </w:r>
    </w:p>
    <w:p w14:paraId="4CEDB881" w14:textId="77777777" w:rsidR="005D4ECA" w:rsidRDefault="005D4ECA" w:rsidP="005D4ECA">
      <w:pPr>
        <w:rPr>
          <w:rFonts w:ascii="Calibri" w:eastAsia="Times New Roman" w:hAnsi="Calibri" w:cs="Calibri"/>
          <w:color w:val="000000"/>
        </w:rPr>
      </w:pPr>
    </w:p>
    <w:p w14:paraId="163FF820" w14:textId="5E624783" w:rsidR="00E440C4" w:rsidRDefault="005D4ECA" w:rsidP="00F60313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დღეს ადგილობრივ საზოგადოებრივ ჯანდაცვებს საკვლევი მასალის აღებასა და ეპიდკვლევებში მიეხმარება ჩვენი ცენტრის სამი ბრიგადა, ორი ბოლნისსში და ერთი თეთრწყაროში.</w:t>
      </w: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015ADD"/>
    <w:multiLevelType w:val="multilevel"/>
    <w:tmpl w:val="4BB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D4ECA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7"/>
              <c:layout>
                <c:manualLayout>
                  <c:x val="0"/>
                  <c:y val="7.62473347547974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0"/>
                  <c:y val="7.05614783226723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>
                <c:manualLayout>
                  <c:x val="-9.5113471063806945E-17"/>
                  <c:y val="5.0660980810234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>
                <c:manualLayout>
                  <c:x val="0"/>
                  <c:y val="6.48756218905472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layout>
                <c:manualLayout>
                  <c:x val="-1.9022694212761389E-16"/>
                  <c:y val="5.9189765458422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layout>
                <c:manualLayout>
                  <c:x val="-1.9022694212761389E-16"/>
                  <c:y val="7.90902629708599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Sheet2!$A$2:$A$61</c:f>
              <c:strCache>
                <c:ptCount val="6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</c:strCache>
            </c:strRef>
          </c:cat>
          <c:val>
            <c:numRef>
              <c:f>Sheet2!$C$2:$C$61</c:f>
              <c:numCache>
                <c:formatCode>General</c:formatCode>
                <c:ptCount val="60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4916864"/>
        <c:axId val="105491468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Sheet2!$A$2:$A$61</c:f>
              <c:strCache>
                <c:ptCount val="6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</c:strCache>
            </c:strRef>
          </c:cat>
          <c:val>
            <c:numRef>
              <c:f>Sheet2!$B$2:$B$61</c:f>
              <c:numCache>
                <c:formatCode>General</c:formatCode>
                <c:ptCount val="60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10711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4915776"/>
        <c:axId val="1054913600"/>
      </c:lineChart>
      <c:catAx>
        <c:axId val="105491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913600"/>
        <c:crosses val="autoZero"/>
        <c:auto val="0"/>
        <c:lblAlgn val="ctr"/>
        <c:lblOffset val="100"/>
        <c:noMultiLvlLbl val="0"/>
      </c:catAx>
      <c:valAx>
        <c:axId val="1054913600"/>
        <c:scaling>
          <c:orientation val="minMax"/>
          <c:max val="1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915776"/>
        <c:crosses val="autoZero"/>
        <c:crossBetween val="between"/>
        <c:majorUnit val="1000"/>
      </c:valAx>
      <c:valAx>
        <c:axId val="1054914688"/>
        <c:scaling>
          <c:orientation val="minMax"/>
          <c:max val="10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4916864"/>
        <c:crosses val="max"/>
        <c:crossBetween val="between"/>
        <c:majorUnit val="100"/>
      </c:valAx>
      <c:catAx>
        <c:axId val="1054916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5491468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32804313857655"/>
          <c:y val="2.6716138094678463E-2"/>
          <c:w val="0.51550231318361461"/>
          <c:h val="9.83859107163843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Sheet1!$A$2:$A$60</c:f>
              <c:numCache>
                <c:formatCode>d\-mmm</c:formatCode>
                <c:ptCount val="5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</c:numCache>
            </c:numRef>
          </c:cat>
          <c:val>
            <c:numRef>
              <c:f>Sheet1!$B$2:$B$60</c:f>
              <c:numCache>
                <c:formatCode>General</c:formatCode>
                <c:ptCount val="5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62583792"/>
        <c:axId val="106258161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54"/>
              <c:layout>
                <c:manualLayout>
                  <c:x val="-1.2191602026632612E-16"/>
                  <c:y val="-1.4900908955446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layout>
                <c:manualLayout>
                  <c:x val="-1.2191602026632612E-16"/>
                  <c:y val="-3.5762181493071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layout>
                <c:manualLayout>
                  <c:x val="-1.2191602026632612E-16"/>
                  <c:y val="-5.0663090448517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layout>
                <c:manualLayout>
                  <c:x val="-1.2191602026632612E-16"/>
                  <c:y val="-6.258381761287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layout>
                <c:manualLayout>
                  <c:x val="-1.2191602026632612E-16"/>
                  <c:y val="-5.3643272239606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Sheet1!$A$2:$A$60</c:f>
              <c:numCache>
                <c:formatCode>d\-mmm</c:formatCode>
                <c:ptCount val="5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</c:numCache>
            </c:numRef>
          </c:cat>
          <c:val>
            <c:numRef>
              <c:f>Sheet1!$C$2:$C$60</c:f>
              <c:numCache>
                <c:formatCode>General</c:formatCode>
                <c:ptCount val="5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2583792"/>
        <c:axId val="1062581616"/>
      </c:lineChart>
      <c:dateAx>
        <c:axId val="1062583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2581616"/>
        <c:crosses val="autoZero"/>
        <c:auto val="1"/>
        <c:lblOffset val="100"/>
        <c:baseTimeUnit val="days"/>
        <c:majorUnit val="7"/>
        <c:majorTimeUnit val="days"/>
      </c:dateAx>
      <c:valAx>
        <c:axId val="106258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258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25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18</c:v>
                </c:pt>
                <c:pt idx="1">
                  <c:v>0</c:v>
                </c:pt>
                <c:pt idx="2">
                  <c:v>42</c:v>
                </c:pt>
                <c:pt idx="3">
                  <c:v>11</c:v>
                </c:pt>
                <c:pt idx="4">
                  <c:v>16</c:v>
                </c:pt>
                <c:pt idx="5">
                  <c:v>5</c:v>
                </c:pt>
                <c:pt idx="6">
                  <c:v>21</c:v>
                </c:pt>
                <c:pt idx="7">
                  <c:v>9</c:v>
                </c:pt>
                <c:pt idx="8">
                  <c:v>104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21</c:v>
                </c:pt>
                <c:pt idx="1">
                  <c:v>46</c:v>
                </c:pt>
                <c:pt idx="2">
                  <c:v>66</c:v>
                </c:pt>
                <c:pt idx="3">
                  <c:v>49</c:v>
                </c:pt>
                <c:pt idx="4">
                  <c:v>40</c:v>
                </c:pt>
                <c:pt idx="5">
                  <c:v>65</c:v>
                </c:pt>
                <c:pt idx="6">
                  <c:v>62</c:v>
                </c:pt>
                <c:pt idx="7">
                  <c:v>112</c:v>
                </c:pt>
                <c:pt idx="8">
                  <c:v>440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62589232"/>
        <c:axId val="1062589776"/>
      </c:barChart>
      <c:catAx>
        <c:axId val="106258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2589776"/>
        <c:crosses val="autoZero"/>
        <c:auto val="1"/>
        <c:lblAlgn val="ctr"/>
        <c:lblOffset val="100"/>
        <c:noMultiLvlLbl val="0"/>
      </c:catAx>
      <c:valAx>
        <c:axId val="1062589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258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B5FE-A5D9-4649-84B4-579C584D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3</cp:revision>
  <cp:lastPrinted>2020-03-13T13:34:00Z</cp:lastPrinted>
  <dcterms:created xsi:type="dcterms:W3CDTF">2020-04-25T06:00:00Z</dcterms:created>
  <dcterms:modified xsi:type="dcterms:W3CDTF">2020-04-25T06:14:00Z</dcterms:modified>
</cp:coreProperties>
</file>